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Accessory</w:t>
      </w:r>
    </w:p>
    <w:p/>
    <w:p>
      <w:pPr/>
      <w:r>
        <w:rPr>
          <w:b/>
        </w:rPr>
        <w:t xml:space="preserve">KNX Gateway</w:t>
      </w:r>
    </w:p>
    <w:p>
      <w:pPr/>
      <w:r>
        <w:rPr>
          <w:b/>
        </w:rPr>
        <w:t xml:space="preserve">LiveLink</w:t>
      </w:r>
    </w:p>
    <w:p/>
    <w:p>
      <w:pPr/>
      <w:r>
        <w:rPr/>
        <w:t xml:space="preserve">Type: Ethernet interface; Installation: DRA; Settings via: ETS software; IP-rating: IP00; Manufacturer's Warranty: 5 years; Version: LiveLink; PU1, EAN: 4007841034009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034009</w:t>
      </w:r>
    </w:p>
    <w:p>
      <w:r>
        <w:rPr>
          <w:b/>
        </w:rPr>
        <w:t xml:space="preserve">Ordering designation </w:t>
      </w:r>
      <w:r>
        <w:rPr/>
        <w:t xml:space="preserve"/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2020-09-29T01:08:21+02:00</dcterms:created>
  <dcterms:modified xsi:type="dcterms:W3CDTF">2020-09-29T01:08:21+02:00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